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28A52" w14:textId="77777777" w:rsidR="00A94C2F" w:rsidRDefault="00A94C2F" w:rsidP="00A94C2F">
      <w:pPr>
        <w:pStyle w:val="a3"/>
        <w:jc w:val="center"/>
        <w:rPr>
          <w:rFonts w:ascii="&amp;quot" w:hAnsi="&amp;quot"/>
          <w:color w:val="333333"/>
          <w:sz w:val="18"/>
          <w:szCs w:val="18"/>
        </w:rPr>
      </w:pPr>
      <w:r>
        <w:rPr>
          <w:rFonts w:ascii="&amp;quot" w:hAnsi="&amp;quot"/>
          <w:b/>
          <w:bCs/>
          <w:color w:val="FF0000"/>
          <w:sz w:val="30"/>
          <w:szCs w:val="30"/>
        </w:rPr>
        <w:t>   </w:t>
      </w:r>
      <w:r>
        <w:rPr>
          <w:rStyle w:val="a4"/>
          <w:color w:val="FF0000"/>
          <w:sz w:val="27"/>
          <w:szCs w:val="27"/>
        </w:rPr>
        <w:t> </w:t>
      </w:r>
      <w:r>
        <w:rPr>
          <w:b/>
          <w:bCs/>
          <w:noProof/>
          <w:color w:val="FF0000"/>
          <w:sz w:val="27"/>
          <w:szCs w:val="27"/>
        </w:rPr>
        <w:drawing>
          <wp:inline distT="0" distB="0" distL="0" distR="0" wp14:anchorId="14AF2D54" wp14:editId="1F6AB2A7">
            <wp:extent cx="2857500" cy="1733550"/>
            <wp:effectExtent l="0" t="0" r="0" b="0"/>
            <wp:docPr id="10" name="Рисунок 10" descr="http://dou1-glowworm.do.am/2012-2014/06-2016/20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-glowworm.do.am/2012-2014/06-2016/2015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12F00" w14:textId="77777777" w:rsidR="00A94C2F" w:rsidRDefault="00A94C2F" w:rsidP="00A94C2F">
      <w:pPr>
        <w:pStyle w:val="a3"/>
        <w:spacing w:before="180" w:beforeAutospacing="0" w:after="180" w:afterAutospacing="0"/>
        <w:rPr>
          <w:rFonts w:ascii="&amp;quot" w:hAnsi="&amp;quot"/>
          <w:color w:val="333333"/>
          <w:sz w:val="18"/>
          <w:szCs w:val="18"/>
        </w:rPr>
      </w:pPr>
      <w:r>
        <w:rPr>
          <w:rStyle w:val="a4"/>
          <w:color w:val="0000CD"/>
          <w:sz w:val="27"/>
          <w:szCs w:val="27"/>
        </w:rPr>
        <w:t>Конвенция ООН о правах ребенка</w:t>
      </w:r>
      <w:r>
        <w:rPr>
          <w:color w:val="000080"/>
          <w:sz w:val="27"/>
          <w:szCs w:val="27"/>
        </w:rPr>
        <w:t xml:space="preserve"> определяет меры защиты (ст. 19), а </w:t>
      </w:r>
      <w:proofErr w:type="gramStart"/>
      <w:r>
        <w:rPr>
          <w:color w:val="000080"/>
          <w:sz w:val="27"/>
          <w:szCs w:val="27"/>
        </w:rPr>
        <w:t>так же</w:t>
      </w:r>
      <w:proofErr w:type="gramEnd"/>
      <w:r>
        <w:rPr>
          <w:color w:val="000080"/>
          <w:sz w:val="27"/>
          <w:szCs w:val="27"/>
        </w:rPr>
        <w:t xml:space="preserve"> устанавливает:</w:t>
      </w:r>
    </w:p>
    <w:p w14:paraId="09B4EA38" w14:textId="77777777" w:rsidR="00A94C2F" w:rsidRDefault="00A94C2F" w:rsidP="00A94C2F">
      <w:pPr>
        <w:pStyle w:val="a3"/>
        <w:spacing w:before="180" w:beforeAutospacing="0" w:after="180" w:afterAutospacing="0"/>
        <w:rPr>
          <w:rFonts w:ascii="&amp;quot" w:hAnsi="&amp;quot"/>
          <w:color w:val="333333"/>
          <w:sz w:val="18"/>
          <w:szCs w:val="18"/>
        </w:rPr>
      </w:pPr>
      <w:r>
        <w:rPr>
          <w:noProof/>
          <w:color w:val="000080"/>
          <w:sz w:val="27"/>
          <w:szCs w:val="27"/>
        </w:rPr>
        <w:drawing>
          <wp:inline distT="0" distB="0" distL="0" distR="0" wp14:anchorId="5B5480EA" wp14:editId="53E27F74">
            <wp:extent cx="209550" cy="209550"/>
            <wp:effectExtent l="0" t="0" r="0" b="0"/>
            <wp:docPr id="2" name="Рисунок 2" descr="http://dou1-glowworm.do.am/2012-2014/2016-06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1-glowworm.do.am/2012-2014/2016-06/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7"/>
          <w:szCs w:val="27"/>
        </w:rPr>
        <w:t> обеспечение в максимально возможной степени здорового развития личности (ст.6);</w:t>
      </w:r>
    </w:p>
    <w:p w14:paraId="7C8A2A4D" w14:textId="77777777" w:rsidR="00A94C2F" w:rsidRDefault="00A94C2F" w:rsidP="00A94C2F">
      <w:pPr>
        <w:pStyle w:val="a3"/>
        <w:spacing w:before="180" w:beforeAutospacing="0" w:after="180" w:afterAutospacing="0"/>
        <w:rPr>
          <w:rFonts w:ascii="&amp;quot" w:hAnsi="&amp;quot"/>
          <w:color w:val="333333"/>
          <w:sz w:val="18"/>
          <w:szCs w:val="18"/>
        </w:rPr>
      </w:pPr>
      <w:r>
        <w:rPr>
          <w:noProof/>
          <w:color w:val="000080"/>
          <w:sz w:val="27"/>
          <w:szCs w:val="27"/>
        </w:rPr>
        <w:drawing>
          <wp:inline distT="0" distB="0" distL="0" distR="0" wp14:anchorId="334054F1" wp14:editId="4607662F">
            <wp:extent cx="209550" cy="209550"/>
            <wp:effectExtent l="0" t="0" r="0" b="0"/>
            <wp:docPr id="12" name="Рисунок 12" descr="http://dou1-glowworm.do.am/2012-2014/2016-06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1-glowworm.do.am/2012-2014/2016-06/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7"/>
          <w:szCs w:val="27"/>
        </w:rPr>
        <w:t> защиту от произвольного или незаконного вмешательства в личную жизнь ребенка, от посягательств на его честь и репутацию (ст. 16);</w:t>
      </w:r>
    </w:p>
    <w:p w14:paraId="5B85C282" w14:textId="77777777" w:rsidR="00A94C2F" w:rsidRDefault="00A94C2F" w:rsidP="00A94C2F">
      <w:pPr>
        <w:pStyle w:val="a3"/>
        <w:spacing w:before="180" w:beforeAutospacing="0" w:after="180" w:afterAutospacing="0"/>
        <w:rPr>
          <w:rFonts w:ascii="&amp;quot" w:hAnsi="&amp;quot"/>
          <w:color w:val="333333"/>
          <w:sz w:val="18"/>
          <w:szCs w:val="18"/>
        </w:rPr>
      </w:pPr>
      <w:r>
        <w:rPr>
          <w:noProof/>
          <w:color w:val="000080"/>
          <w:sz w:val="27"/>
          <w:szCs w:val="27"/>
        </w:rPr>
        <w:drawing>
          <wp:inline distT="0" distB="0" distL="0" distR="0" wp14:anchorId="24E8019A" wp14:editId="73923354">
            <wp:extent cx="209550" cy="209550"/>
            <wp:effectExtent l="0" t="0" r="0" b="0"/>
            <wp:docPr id="4" name="Рисунок 4" descr="http://dou1-glowworm.do.am/2012-2014/2016-06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1-glowworm.do.am/2012-2014/2016-06/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7"/>
          <w:szCs w:val="27"/>
        </w:rPr>
        <w:t> обеспечение мер по борьбе с болезнями и недоеданием (ст. 24);</w:t>
      </w:r>
    </w:p>
    <w:p w14:paraId="3583DCDA" w14:textId="77777777" w:rsidR="00A94C2F" w:rsidRDefault="00A94C2F" w:rsidP="00A94C2F">
      <w:pPr>
        <w:pStyle w:val="a3"/>
        <w:spacing w:before="180" w:beforeAutospacing="0" w:after="180" w:afterAutospacing="0"/>
        <w:rPr>
          <w:rFonts w:ascii="&amp;quot" w:hAnsi="&amp;quot"/>
          <w:color w:val="333333"/>
          <w:sz w:val="18"/>
          <w:szCs w:val="18"/>
        </w:rPr>
      </w:pPr>
      <w:r>
        <w:rPr>
          <w:noProof/>
          <w:color w:val="000080"/>
          <w:sz w:val="27"/>
          <w:szCs w:val="27"/>
        </w:rPr>
        <w:drawing>
          <wp:inline distT="0" distB="0" distL="0" distR="0" wp14:anchorId="4AC81B2C" wp14:editId="79C731FC">
            <wp:extent cx="209550" cy="209550"/>
            <wp:effectExtent l="0" t="0" r="0" b="0"/>
            <wp:docPr id="14" name="Рисунок 14" descr="http://dou1-glowworm.do.am/2012-2014/2016-06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1-glowworm.do.am/2012-2014/2016-06/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7"/>
          <w:szCs w:val="27"/>
        </w:rPr>
        <w:t> признание права каждого ребенка на уровень жизни, необходимый для физического, умственного, духовного, нравственного и социального развития (ст. 27);</w:t>
      </w:r>
    </w:p>
    <w:p w14:paraId="1EBC790E" w14:textId="77777777" w:rsidR="00A94C2F" w:rsidRDefault="00A94C2F" w:rsidP="00A94C2F">
      <w:pPr>
        <w:pStyle w:val="a3"/>
        <w:spacing w:before="180" w:beforeAutospacing="0" w:after="180" w:afterAutospacing="0"/>
        <w:rPr>
          <w:rFonts w:ascii="&amp;quot" w:hAnsi="&amp;quot"/>
          <w:color w:val="333333"/>
          <w:sz w:val="18"/>
          <w:szCs w:val="18"/>
        </w:rPr>
      </w:pPr>
      <w:r>
        <w:rPr>
          <w:noProof/>
          <w:color w:val="000080"/>
          <w:sz w:val="27"/>
          <w:szCs w:val="27"/>
        </w:rPr>
        <w:drawing>
          <wp:inline distT="0" distB="0" distL="0" distR="0" wp14:anchorId="69D589EE" wp14:editId="40195331">
            <wp:extent cx="209550" cy="209550"/>
            <wp:effectExtent l="0" t="0" r="0" b="0"/>
            <wp:docPr id="6" name="Рисунок 6" descr="http://dou1-glowworm.do.am/2012-2014/2016-06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u1-glowworm.do.am/2012-2014/2016-06/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7"/>
          <w:szCs w:val="27"/>
        </w:rPr>
        <w:t> защиту ребенка от сексуального посягательства (ст. 34);</w:t>
      </w:r>
    </w:p>
    <w:p w14:paraId="3F7CCA1B" w14:textId="77777777" w:rsidR="00A94C2F" w:rsidRDefault="00A94C2F" w:rsidP="00A94C2F">
      <w:pPr>
        <w:pStyle w:val="a3"/>
        <w:spacing w:before="180" w:beforeAutospacing="0" w:after="180" w:afterAutospacing="0"/>
        <w:rPr>
          <w:rFonts w:ascii="&amp;quot" w:hAnsi="&amp;quot"/>
          <w:color w:val="333333"/>
          <w:sz w:val="18"/>
          <w:szCs w:val="18"/>
        </w:rPr>
      </w:pPr>
      <w:r>
        <w:rPr>
          <w:noProof/>
          <w:color w:val="000080"/>
          <w:sz w:val="27"/>
          <w:szCs w:val="27"/>
        </w:rPr>
        <w:drawing>
          <wp:inline distT="0" distB="0" distL="0" distR="0" wp14:anchorId="26994F93" wp14:editId="628E8CE6">
            <wp:extent cx="209550" cy="209550"/>
            <wp:effectExtent l="0" t="0" r="0" b="0"/>
            <wp:docPr id="18" name="Рисунок 18" descr="http://dou1-glowworm.do.am/2012-2014/2016-06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u1-glowworm.do.am/2012-2014/2016-06/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7"/>
          <w:szCs w:val="27"/>
        </w:rPr>
        <w:t> защиту ребенка от других форм жестокого обращения (ст. 37);</w:t>
      </w:r>
    </w:p>
    <w:p w14:paraId="3162343E" w14:textId="77777777" w:rsidR="00A94C2F" w:rsidRDefault="00A94C2F" w:rsidP="00A94C2F">
      <w:pPr>
        <w:pStyle w:val="a3"/>
        <w:spacing w:before="180" w:beforeAutospacing="0" w:after="180" w:afterAutospacing="0"/>
        <w:rPr>
          <w:rFonts w:ascii="&amp;quot" w:hAnsi="&amp;quot"/>
          <w:color w:val="333333"/>
          <w:sz w:val="18"/>
          <w:szCs w:val="18"/>
        </w:rPr>
      </w:pPr>
      <w:r>
        <w:rPr>
          <w:noProof/>
          <w:color w:val="000080"/>
          <w:sz w:val="27"/>
          <w:szCs w:val="27"/>
        </w:rPr>
        <w:drawing>
          <wp:inline distT="0" distB="0" distL="0" distR="0" wp14:anchorId="11C02CDF" wp14:editId="14862E46">
            <wp:extent cx="209550" cy="209550"/>
            <wp:effectExtent l="0" t="0" r="0" b="0"/>
            <wp:docPr id="8" name="Рисунок 8" descr="http://dou1-glowworm.do.am/2012-2014/2016-06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u1-glowworm.do.am/2012-2014/2016-06/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7"/>
          <w:szCs w:val="27"/>
        </w:rPr>
        <w:t xml:space="preserve"> меры помощи ребенку, явившемуся </w:t>
      </w:r>
      <w:proofErr w:type="gramStart"/>
      <w:r>
        <w:rPr>
          <w:color w:val="000080"/>
          <w:sz w:val="27"/>
          <w:szCs w:val="27"/>
        </w:rPr>
        <w:t>жертвой  жестокого</w:t>
      </w:r>
      <w:proofErr w:type="gramEnd"/>
      <w:r>
        <w:rPr>
          <w:color w:val="000080"/>
          <w:sz w:val="27"/>
          <w:szCs w:val="27"/>
        </w:rPr>
        <w:t xml:space="preserve"> обращения (ст. 39).</w:t>
      </w:r>
    </w:p>
    <w:p w14:paraId="1F7AFE79" w14:textId="77777777" w:rsidR="00A94C2F" w:rsidRDefault="00A94C2F" w:rsidP="00A94C2F">
      <w:pPr>
        <w:pStyle w:val="a3"/>
        <w:spacing w:before="180" w:beforeAutospacing="0" w:after="180" w:afterAutospacing="0"/>
        <w:rPr>
          <w:rFonts w:ascii="&amp;quot" w:hAnsi="&amp;quot"/>
          <w:color w:val="333333"/>
          <w:sz w:val="18"/>
          <w:szCs w:val="18"/>
        </w:rPr>
      </w:pPr>
      <w:r>
        <w:rPr>
          <w:color w:val="000080"/>
          <w:sz w:val="27"/>
          <w:szCs w:val="27"/>
        </w:rPr>
        <w:t>Уголовный кодекс РФ предусматривает ответственность за совершение физического и сексуального насилия, в том числе и в отношении несовершеннолетних (ст. 106-136), </w:t>
      </w:r>
    </w:p>
    <w:p w14:paraId="4C813A87" w14:textId="77777777" w:rsidR="00A94C2F" w:rsidRDefault="00A94C2F" w:rsidP="00A94C2F">
      <w:pPr>
        <w:pStyle w:val="a3"/>
        <w:spacing w:before="180" w:beforeAutospacing="0" w:after="180" w:afterAutospacing="0"/>
        <w:rPr>
          <w:rFonts w:ascii="&amp;quot" w:hAnsi="&amp;quot"/>
          <w:color w:val="333333"/>
          <w:sz w:val="18"/>
          <w:szCs w:val="18"/>
        </w:rPr>
      </w:pPr>
      <w:r>
        <w:rPr>
          <w:color w:val="000080"/>
          <w:sz w:val="27"/>
          <w:szCs w:val="27"/>
        </w:rPr>
        <w:t>за преступления против семьи и несовершеннолетних (ст. 150-157).</w:t>
      </w:r>
    </w:p>
    <w:p w14:paraId="171628C3" w14:textId="77777777" w:rsidR="004F3039" w:rsidRDefault="004F3039">
      <w:bookmarkStart w:id="0" w:name="_GoBack"/>
      <w:bookmarkEnd w:id="0"/>
    </w:p>
    <w:sectPr w:rsidR="004F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4"/>
    <w:rsid w:val="002507E4"/>
    <w:rsid w:val="004F3039"/>
    <w:rsid w:val="00A9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AB8D6-A093-4EE3-9F9F-3003B5E8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Чалый</dc:creator>
  <cp:keywords/>
  <dc:description/>
  <cp:lastModifiedBy>Константин Чалый</cp:lastModifiedBy>
  <cp:revision>2</cp:revision>
  <dcterms:created xsi:type="dcterms:W3CDTF">2018-11-28T06:48:00Z</dcterms:created>
  <dcterms:modified xsi:type="dcterms:W3CDTF">2018-11-28T06:48:00Z</dcterms:modified>
</cp:coreProperties>
</file>